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57" w:rsidRPr="00D46E3E" w:rsidRDefault="00166A57" w:rsidP="00166A57">
      <w:pPr>
        <w:pStyle w:val="Default"/>
        <w:rPr>
          <w:rFonts w:asciiTheme="majorHAnsi" w:hAnsiTheme="majorHAnsi"/>
          <w:sz w:val="36"/>
          <w:szCs w:val="36"/>
        </w:rPr>
      </w:pPr>
      <w:r w:rsidRPr="00D46E3E">
        <w:rPr>
          <w:rFonts w:asciiTheme="majorHAnsi" w:hAnsiTheme="majorHAnsi"/>
          <w:b/>
          <w:bCs/>
          <w:noProof/>
          <w:sz w:val="36"/>
          <w:szCs w:val="36"/>
          <w:lang w:val="en-IN" w:eastAsia="en-IN"/>
        </w:rPr>
        <w:drawing>
          <wp:anchor distT="0" distB="0" distL="114300" distR="114300" simplePos="0" relativeHeight="251658240" behindDoc="1" locked="0" layoutInCell="1" allowOverlap="1">
            <wp:simplePos x="0" y="0"/>
            <wp:positionH relativeFrom="column">
              <wp:posOffset>4845050</wp:posOffset>
            </wp:positionH>
            <wp:positionV relativeFrom="paragraph">
              <wp:posOffset>-78105</wp:posOffset>
            </wp:positionV>
            <wp:extent cx="160972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09725"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46E3E">
        <w:rPr>
          <w:rFonts w:asciiTheme="majorHAnsi" w:hAnsiTheme="majorHAnsi"/>
          <w:b/>
          <w:bCs/>
          <w:sz w:val="36"/>
          <w:szCs w:val="36"/>
        </w:rPr>
        <w:t xml:space="preserve">Tata Medical Center Fellowship Program </w:t>
      </w:r>
    </w:p>
    <w:p w:rsidR="00166A57" w:rsidRPr="00D46E3E" w:rsidRDefault="00166A57" w:rsidP="00166A57">
      <w:pPr>
        <w:pStyle w:val="Default"/>
        <w:rPr>
          <w:rFonts w:asciiTheme="majorHAnsi" w:hAnsiTheme="majorHAnsi"/>
          <w:sz w:val="22"/>
          <w:szCs w:val="22"/>
        </w:rPr>
      </w:pPr>
    </w:p>
    <w:p w:rsidR="00166A57" w:rsidRPr="00D46E3E" w:rsidRDefault="00166A57" w:rsidP="00166A57">
      <w:pPr>
        <w:pStyle w:val="Default"/>
        <w:rPr>
          <w:rFonts w:asciiTheme="majorHAnsi" w:hAnsiTheme="majorHAnsi"/>
          <w:b/>
        </w:rPr>
      </w:pPr>
      <w:r w:rsidRPr="00D46E3E">
        <w:rPr>
          <w:rFonts w:asciiTheme="majorHAnsi" w:hAnsiTheme="majorHAnsi"/>
          <w:b/>
        </w:rPr>
        <w:t xml:space="preserve">Fellowship in Clinical Hematology </w:t>
      </w:r>
      <w:r w:rsidR="00D46E3E" w:rsidRPr="00D46E3E">
        <w:rPr>
          <w:rFonts w:asciiTheme="majorHAnsi" w:hAnsiTheme="majorHAnsi"/>
          <w:b/>
        </w:rPr>
        <w:t>&amp; BMT</w:t>
      </w:r>
    </w:p>
    <w:p w:rsidR="00D46E3E" w:rsidRDefault="00D46E3E" w:rsidP="00166A57">
      <w:pPr>
        <w:pStyle w:val="Default"/>
        <w:rPr>
          <w:rFonts w:asciiTheme="majorHAnsi" w:hAnsiTheme="majorHAnsi"/>
          <w:b/>
          <w:sz w:val="22"/>
          <w:szCs w:val="22"/>
        </w:rPr>
      </w:pPr>
      <w:bookmarkStart w:id="0" w:name="_GoBack"/>
      <w:bookmarkEnd w:id="0"/>
    </w:p>
    <w:p w:rsidR="00F9642C" w:rsidRPr="00ED254E" w:rsidRDefault="00F9642C" w:rsidP="00F9642C">
      <w:pPr>
        <w:pStyle w:val="NormalWeb"/>
        <w:shd w:val="clear" w:color="auto" w:fill="FFFFFF"/>
        <w:spacing w:before="204" w:beforeAutospacing="0" w:after="204"/>
        <w:jc w:val="both"/>
        <w:textAlignment w:val="baseline"/>
        <w:rPr>
          <w:rFonts w:asciiTheme="majorHAnsi" w:hAnsiTheme="majorHAnsi"/>
          <w:sz w:val="22"/>
          <w:szCs w:val="22"/>
        </w:rPr>
      </w:pPr>
      <w:r w:rsidRPr="00ED254E">
        <w:rPr>
          <w:rFonts w:asciiTheme="majorHAnsi" w:hAnsiTheme="majorHAnsi"/>
          <w:color w:val="000000" w:themeColor="text1"/>
          <w:sz w:val="22"/>
          <w:szCs w:val="22"/>
        </w:rPr>
        <w:t xml:space="preserve">Conceptualized in the year 2004 as a philanthropic initiative for the Eastern and North-Eastern parts of India and the neighboring countries, the Tata Medical Center (TMC) started operations in Kolkata on May 16, 2011. The hospital is governed by a charitable trust – Tata Medical Centre Trust. It is an integrated Oncology facility with well-trained professional staff and equipped with modern facilities and the most contemporary medical equipment. </w:t>
      </w:r>
      <w:r w:rsidRPr="00ED254E">
        <w:rPr>
          <w:rFonts w:asciiTheme="majorHAnsi" w:hAnsiTheme="majorHAnsi"/>
          <w:sz w:val="22"/>
          <w:szCs w:val="22"/>
        </w:rPr>
        <w:t>The hospital was designed by Cannon Design, a renowned architectural firm from North America. It is located on 13 acres of land at New Town in Kolkata, West Bengal.</w:t>
      </w:r>
    </w:p>
    <w:p w:rsidR="00166A57" w:rsidRPr="00F9642C" w:rsidRDefault="00F9642C" w:rsidP="00F9642C">
      <w:pPr>
        <w:shd w:val="clear" w:color="auto" w:fill="FFFFFF"/>
        <w:spacing w:before="204" w:after="204"/>
        <w:jc w:val="both"/>
        <w:textAlignment w:val="baseline"/>
        <w:rPr>
          <w:rFonts w:asciiTheme="majorHAnsi" w:eastAsia="Times New Roman" w:hAnsiTheme="majorHAnsi" w:cs="Times New Roman"/>
        </w:rPr>
      </w:pPr>
      <w:r w:rsidRPr="00ED254E">
        <w:rPr>
          <w:rFonts w:asciiTheme="majorHAnsi" w:eastAsia="Times New Roman" w:hAnsiTheme="majorHAnsi" w:cs="Times New Roman"/>
        </w:rPr>
        <w:t>The hospital is an integrated Oncology facility with well-trained professional staff and equipped with modern facilities and contemporary medical equipment. The Hospital, with a capacity of 437 beds, serves all sections of the society, with 75% of the infrastructure earmarked for subsidized treatment for the underprivileged sections. It provides a wide spectrum of services from diagnosis and therapy to rehabilitation and palliative support. The Institution’s objective is to excel in service, education and research.</w:t>
      </w:r>
      <w:r w:rsidRPr="00ED254E">
        <w:rPr>
          <w:rFonts w:asciiTheme="majorHAnsi" w:hAnsiTheme="majorHAnsi" w:cstheme="minorHAnsi"/>
          <w:lang w:eastAsia="en-GB"/>
        </w:rPr>
        <w:t> </w:t>
      </w:r>
    </w:p>
    <w:p w:rsidR="00166A57" w:rsidRPr="00D46E3E" w:rsidRDefault="00166A57" w:rsidP="00166A57">
      <w:pPr>
        <w:pStyle w:val="Default"/>
        <w:rPr>
          <w:rFonts w:asciiTheme="majorHAnsi" w:hAnsiTheme="majorHAnsi"/>
          <w:sz w:val="22"/>
          <w:szCs w:val="22"/>
        </w:rPr>
      </w:pPr>
      <w:r w:rsidRPr="00D46E3E">
        <w:rPr>
          <w:rFonts w:asciiTheme="majorHAnsi" w:hAnsiTheme="majorHAnsi"/>
          <w:b/>
          <w:bCs/>
          <w:sz w:val="22"/>
          <w:szCs w:val="22"/>
        </w:rPr>
        <w:t xml:space="preserve">The Department: </w:t>
      </w:r>
    </w:p>
    <w:p w:rsidR="00D46E3E" w:rsidRDefault="00D46E3E" w:rsidP="00166A57">
      <w:pPr>
        <w:pStyle w:val="Default"/>
        <w:rPr>
          <w:rFonts w:asciiTheme="majorHAnsi" w:hAnsiTheme="majorHAnsi"/>
          <w:sz w:val="22"/>
          <w:szCs w:val="22"/>
        </w:rPr>
      </w:pPr>
    </w:p>
    <w:p w:rsidR="00166A57" w:rsidRPr="00D46E3E" w:rsidRDefault="00166A57" w:rsidP="00D46E3E">
      <w:pPr>
        <w:pStyle w:val="Default"/>
        <w:jc w:val="both"/>
        <w:rPr>
          <w:rFonts w:asciiTheme="majorHAnsi" w:hAnsiTheme="majorHAnsi"/>
          <w:sz w:val="22"/>
          <w:szCs w:val="22"/>
        </w:rPr>
      </w:pPr>
      <w:r w:rsidRPr="00D46E3E">
        <w:rPr>
          <w:rFonts w:asciiTheme="majorHAnsi" w:hAnsiTheme="majorHAnsi"/>
          <w:sz w:val="22"/>
          <w:szCs w:val="22"/>
        </w:rPr>
        <w:t>The clinical hematology department would cater to treat all patients with hematological disorders, with emphasis on hematological malignancies. The clinical department would be adequately supported by laboratory sciences, equipped to reliably perform investigations from the basic ones to the latest molecular tests, which would not serve not only as proper prognostication tools, but also would help us to personalize treatment. A state of the art 9 bedded stem cell transplant unit would be first of its kind in this part of India, to perform autologous and allogenic (matched sibling, unrelated donor and cord blood) transplant for hematological malignancies, bone marrow failure syndromes (inherited and acquired), immunodeficiency states and thalassemia major. The dep</w:t>
      </w:r>
      <w:r w:rsidR="00D46E3E">
        <w:rPr>
          <w:rFonts w:asciiTheme="majorHAnsi" w:hAnsiTheme="majorHAnsi"/>
          <w:sz w:val="22"/>
          <w:szCs w:val="22"/>
        </w:rPr>
        <w:t>ar</w:t>
      </w:r>
      <w:r w:rsidRPr="00D46E3E">
        <w:rPr>
          <w:rFonts w:asciiTheme="majorHAnsi" w:hAnsiTheme="majorHAnsi"/>
          <w:sz w:val="22"/>
          <w:szCs w:val="22"/>
        </w:rPr>
        <w:t>t</w:t>
      </w:r>
      <w:r w:rsidR="00D46E3E">
        <w:rPr>
          <w:rFonts w:asciiTheme="majorHAnsi" w:hAnsiTheme="majorHAnsi"/>
          <w:sz w:val="22"/>
          <w:szCs w:val="22"/>
        </w:rPr>
        <w:t>ment</w:t>
      </w:r>
      <w:r w:rsidRPr="00D46E3E">
        <w:rPr>
          <w:rFonts w:asciiTheme="majorHAnsi" w:hAnsiTheme="majorHAnsi"/>
          <w:sz w:val="22"/>
          <w:szCs w:val="22"/>
        </w:rPr>
        <w:t xml:space="preserve"> of hematology would be headed by Dr. Mammen Chandy, former professor and Head of dept of hematology, Christian Medical College, Vellore. </w:t>
      </w:r>
    </w:p>
    <w:p w:rsidR="00166A57" w:rsidRPr="00D46E3E" w:rsidRDefault="00166A57" w:rsidP="00166A57">
      <w:pPr>
        <w:pStyle w:val="Default"/>
        <w:rPr>
          <w:rFonts w:asciiTheme="majorHAnsi" w:hAnsiTheme="majorHAnsi"/>
          <w:b/>
          <w:bCs/>
          <w:sz w:val="22"/>
          <w:szCs w:val="22"/>
        </w:rPr>
      </w:pPr>
    </w:p>
    <w:p w:rsidR="00D46E3E" w:rsidRPr="00AE7614" w:rsidRDefault="00166A57" w:rsidP="00AE7614">
      <w:pPr>
        <w:pStyle w:val="Default"/>
        <w:rPr>
          <w:rFonts w:asciiTheme="majorHAnsi" w:hAnsiTheme="majorHAnsi"/>
          <w:b/>
          <w:bCs/>
          <w:sz w:val="22"/>
          <w:szCs w:val="22"/>
        </w:rPr>
      </w:pPr>
      <w:r w:rsidRPr="00D46E3E">
        <w:rPr>
          <w:rFonts w:asciiTheme="majorHAnsi" w:hAnsiTheme="majorHAnsi"/>
          <w:b/>
          <w:bCs/>
          <w:sz w:val="22"/>
          <w:szCs w:val="22"/>
        </w:rPr>
        <w:t xml:space="preserve">Fellowship Objectives: </w:t>
      </w:r>
    </w:p>
    <w:p w:rsidR="00166A57" w:rsidRPr="00D46E3E" w:rsidRDefault="00166A57" w:rsidP="00D40DCA">
      <w:pPr>
        <w:pStyle w:val="Default"/>
        <w:numPr>
          <w:ilvl w:val="0"/>
          <w:numId w:val="2"/>
        </w:numPr>
        <w:jc w:val="both"/>
        <w:rPr>
          <w:rFonts w:asciiTheme="majorHAnsi" w:hAnsiTheme="majorHAnsi"/>
          <w:sz w:val="22"/>
          <w:szCs w:val="22"/>
        </w:rPr>
      </w:pPr>
      <w:r w:rsidRPr="00D46E3E">
        <w:rPr>
          <w:rFonts w:asciiTheme="majorHAnsi" w:hAnsiTheme="majorHAnsi"/>
          <w:sz w:val="22"/>
          <w:szCs w:val="22"/>
        </w:rPr>
        <w:t xml:space="preserve">Diagnose and manage all patients with malignant diseases of the </w:t>
      </w:r>
      <w:proofErr w:type="spellStart"/>
      <w:r w:rsidRPr="00D46E3E">
        <w:rPr>
          <w:rFonts w:asciiTheme="majorHAnsi" w:hAnsiTheme="majorHAnsi"/>
          <w:sz w:val="22"/>
          <w:szCs w:val="22"/>
        </w:rPr>
        <w:t>haemopoietic</w:t>
      </w:r>
      <w:proofErr w:type="spellEnd"/>
      <w:r w:rsidRPr="00D46E3E">
        <w:rPr>
          <w:rFonts w:asciiTheme="majorHAnsi" w:hAnsiTheme="majorHAnsi"/>
          <w:sz w:val="22"/>
          <w:szCs w:val="22"/>
        </w:rPr>
        <w:t xml:space="preserve"> and related systems. </w:t>
      </w:r>
    </w:p>
    <w:p w:rsidR="00166A57" w:rsidRPr="00D46E3E" w:rsidRDefault="00166A57" w:rsidP="00D40DCA">
      <w:pPr>
        <w:pStyle w:val="Default"/>
        <w:numPr>
          <w:ilvl w:val="0"/>
          <w:numId w:val="2"/>
        </w:numPr>
        <w:jc w:val="both"/>
        <w:rPr>
          <w:rFonts w:asciiTheme="majorHAnsi" w:hAnsiTheme="majorHAnsi"/>
          <w:sz w:val="22"/>
          <w:szCs w:val="22"/>
        </w:rPr>
      </w:pPr>
      <w:r w:rsidRPr="00D46E3E">
        <w:rPr>
          <w:rFonts w:asciiTheme="majorHAnsi" w:hAnsiTheme="majorHAnsi"/>
          <w:sz w:val="22"/>
          <w:szCs w:val="22"/>
        </w:rPr>
        <w:t xml:space="preserve">Recognize the nature, assess the significance and manage the </w:t>
      </w:r>
      <w:proofErr w:type="spellStart"/>
      <w:r w:rsidRPr="00D46E3E">
        <w:rPr>
          <w:rFonts w:asciiTheme="majorHAnsi" w:hAnsiTheme="majorHAnsi"/>
          <w:sz w:val="22"/>
          <w:szCs w:val="22"/>
        </w:rPr>
        <w:t>haematological</w:t>
      </w:r>
      <w:proofErr w:type="spellEnd"/>
      <w:r w:rsidRPr="00D46E3E">
        <w:rPr>
          <w:rFonts w:asciiTheme="majorHAnsi" w:hAnsiTheme="majorHAnsi"/>
          <w:sz w:val="22"/>
          <w:szCs w:val="22"/>
        </w:rPr>
        <w:t xml:space="preserve"> complications of non-</w:t>
      </w:r>
      <w:r w:rsidR="00D40DCA" w:rsidRPr="00D40DCA">
        <w:rPr>
          <w:rFonts w:asciiTheme="majorHAnsi" w:hAnsiTheme="majorHAnsi"/>
          <w:sz w:val="22"/>
          <w:szCs w:val="22"/>
        </w:rPr>
        <w:t xml:space="preserve"> </w:t>
      </w:r>
      <w:r w:rsidR="00D40DCA">
        <w:rPr>
          <w:rFonts w:asciiTheme="majorHAnsi" w:hAnsiTheme="majorHAnsi"/>
          <w:sz w:val="22"/>
          <w:szCs w:val="22"/>
        </w:rPr>
        <w:t xml:space="preserve">  </w:t>
      </w:r>
      <w:proofErr w:type="spellStart"/>
      <w:r w:rsidR="00D40DCA" w:rsidRPr="00D46E3E">
        <w:rPr>
          <w:rFonts w:asciiTheme="majorHAnsi" w:hAnsiTheme="majorHAnsi"/>
          <w:sz w:val="22"/>
          <w:szCs w:val="22"/>
        </w:rPr>
        <w:t>haemopoietic</w:t>
      </w:r>
      <w:proofErr w:type="spellEnd"/>
      <w:r w:rsidR="00D40DCA" w:rsidRPr="00D46E3E">
        <w:rPr>
          <w:rFonts w:asciiTheme="majorHAnsi" w:hAnsiTheme="majorHAnsi"/>
          <w:sz w:val="22"/>
          <w:szCs w:val="22"/>
        </w:rPr>
        <w:t xml:space="preserve"> diseases and their therapy. </w:t>
      </w:r>
      <w:r w:rsidR="00D40DCA">
        <w:rPr>
          <w:rFonts w:asciiTheme="majorHAnsi" w:hAnsiTheme="majorHAnsi"/>
          <w:sz w:val="22"/>
          <w:szCs w:val="22"/>
        </w:rPr>
        <w:t xml:space="preserve">   </w:t>
      </w:r>
    </w:p>
    <w:p w:rsidR="00166A57" w:rsidRPr="00D46E3E" w:rsidRDefault="00166A57" w:rsidP="00D40DCA">
      <w:pPr>
        <w:pStyle w:val="Default"/>
        <w:numPr>
          <w:ilvl w:val="0"/>
          <w:numId w:val="2"/>
        </w:numPr>
        <w:jc w:val="both"/>
        <w:rPr>
          <w:rFonts w:asciiTheme="majorHAnsi" w:hAnsiTheme="majorHAnsi"/>
          <w:sz w:val="22"/>
          <w:szCs w:val="22"/>
        </w:rPr>
      </w:pPr>
      <w:r w:rsidRPr="00D46E3E">
        <w:rPr>
          <w:rFonts w:asciiTheme="majorHAnsi" w:hAnsiTheme="majorHAnsi"/>
          <w:sz w:val="22"/>
          <w:szCs w:val="22"/>
        </w:rPr>
        <w:t xml:space="preserve">Interpret laboratory data (and whenever possible contribute to their genesis) and synthesize laboratory and clinical data so as to provide rational solutions for patients’ </w:t>
      </w:r>
      <w:proofErr w:type="spellStart"/>
      <w:r w:rsidRPr="00D46E3E">
        <w:rPr>
          <w:rFonts w:asciiTheme="majorHAnsi" w:hAnsiTheme="majorHAnsi"/>
          <w:sz w:val="22"/>
          <w:szCs w:val="22"/>
        </w:rPr>
        <w:t>haematological</w:t>
      </w:r>
      <w:proofErr w:type="spellEnd"/>
      <w:r w:rsidRPr="00D46E3E">
        <w:rPr>
          <w:rFonts w:asciiTheme="majorHAnsi" w:hAnsiTheme="majorHAnsi"/>
          <w:sz w:val="22"/>
          <w:szCs w:val="22"/>
        </w:rPr>
        <w:t xml:space="preserve"> problems. </w:t>
      </w:r>
    </w:p>
    <w:p w:rsidR="00166A57" w:rsidRPr="00D46E3E" w:rsidRDefault="00166A57" w:rsidP="00D40DCA">
      <w:pPr>
        <w:pStyle w:val="Default"/>
        <w:numPr>
          <w:ilvl w:val="0"/>
          <w:numId w:val="2"/>
        </w:numPr>
        <w:jc w:val="both"/>
        <w:rPr>
          <w:rFonts w:asciiTheme="majorHAnsi" w:hAnsiTheme="majorHAnsi"/>
          <w:sz w:val="22"/>
          <w:szCs w:val="22"/>
        </w:rPr>
      </w:pPr>
      <w:r w:rsidRPr="00D46E3E">
        <w:rPr>
          <w:rFonts w:asciiTheme="majorHAnsi" w:hAnsiTheme="majorHAnsi"/>
          <w:sz w:val="22"/>
          <w:szCs w:val="22"/>
        </w:rPr>
        <w:t xml:space="preserve">Select appropriate diagnostic tests to arrive at a correct diagnosis. </w:t>
      </w:r>
    </w:p>
    <w:p w:rsidR="00166A57" w:rsidRPr="00D46E3E" w:rsidRDefault="00166A57" w:rsidP="00D40DCA">
      <w:pPr>
        <w:pStyle w:val="Default"/>
        <w:numPr>
          <w:ilvl w:val="0"/>
          <w:numId w:val="2"/>
        </w:numPr>
        <w:jc w:val="both"/>
        <w:rPr>
          <w:rFonts w:asciiTheme="majorHAnsi" w:hAnsiTheme="majorHAnsi"/>
          <w:sz w:val="22"/>
          <w:szCs w:val="22"/>
        </w:rPr>
      </w:pPr>
      <w:r w:rsidRPr="00D46E3E">
        <w:rPr>
          <w:rFonts w:asciiTheme="majorHAnsi" w:hAnsiTheme="majorHAnsi"/>
          <w:sz w:val="22"/>
          <w:szCs w:val="22"/>
        </w:rPr>
        <w:t xml:space="preserve">Understand the principles of different tests. </w:t>
      </w:r>
    </w:p>
    <w:p w:rsidR="00D40DCA" w:rsidRDefault="00166A57" w:rsidP="00D40DCA">
      <w:pPr>
        <w:pStyle w:val="Default"/>
        <w:numPr>
          <w:ilvl w:val="0"/>
          <w:numId w:val="2"/>
        </w:numPr>
        <w:jc w:val="both"/>
        <w:rPr>
          <w:rFonts w:asciiTheme="majorHAnsi" w:hAnsiTheme="majorHAnsi"/>
          <w:sz w:val="22"/>
          <w:szCs w:val="22"/>
        </w:rPr>
      </w:pPr>
      <w:r w:rsidRPr="00D46E3E">
        <w:rPr>
          <w:rFonts w:asciiTheme="majorHAnsi" w:hAnsiTheme="majorHAnsi"/>
          <w:sz w:val="22"/>
          <w:szCs w:val="22"/>
        </w:rPr>
        <w:t xml:space="preserve">Be familiar with current blood transfusion practice including collection of blood, separation and storage of blood components and quality control. </w:t>
      </w:r>
    </w:p>
    <w:p w:rsidR="00D40DCA" w:rsidRDefault="00166A57" w:rsidP="00D40DCA">
      <w:pPr>
        <w:pStyle w:val="Default"/>
        <w:numPr>
          <w:ilvl w:val="0"/>
          <w:numId w:val="2"/>
        </w:numPr>
        <w:jc w:val="both"/>
        <w:rPr>
          <w:rFonts w:asciiTheme="majorHAnsi" w:hAnsiTheme="majorHAnsi"/>
          <w:sz w:val="22"/>
          <w:szCs w:val="22"/>
        </w:rPr>
      </w:pPr>
      <w:r w:rsidRPr="00D40DCA">
        <w:rPr>
          <w:rFonts w:asciiTheme="majorHAnsi" w:hAnsiTheme="majorHAnsi"/>
          <w:sz w:val="22"/>
          <w:szCs w:val="22"/>
        </w:rPr>
        <w:t xml:space="preserve">Understand and introduce quality assurance. </w:t>
      </w:r>
    </w:p>
    <w:p w:rsidR="00166A57" w:rsidRPr="00D40DCA" w:rsidRDefault="00166A57" w:rsidP="00D40DCA">
      <w:pPr>
        <w:pStyle w:val="Default"/>
        <w:numPr>
          <w:ilvl w:val="0"/>
          <w:numId w:val="2"/>
        </w:numPr>
        <w:jc w:val="both"/>
        <w:rPr>
          <w:rFonts w:asciiTheme="majorHAnsi" w:hAnsiTheme="majorHAnsi"/>
          <w:sz w:val="22"/>
          <w:szCs w:val="22"/>
        </w:rPr>
      </w:pPr>
      <w:r w:rsidRPr="00D40DCA">
        <w:rPr>
          <w:rFonts w:asciiTheme="majorHAnsi" w:hAnsiTheme="majorHAnsi"/>
          <w:sz w:val="22"/>
          <w:szCs w:val="22"/>
        </w:rPr>
        <w:t xml:space="preserve">Understand the indications, selection of patients and procedures in involved in stem cell transplantation. </w:t>
      </w:r>
    </w:p>
    <w:p w:rsidR="00166A57" w:rsidRPr="00D46E3E" w:rsidRDefault="00166A57" w:rsidP="00166A57">
      <w:pPr>
        <w:pStyle w:val="Default"/>
        <w:rPr>
          <w:rFonts w:asciiTheme="majorHAnsi" w:hAnsiTheme="majorHAnsi"/>
          <w:sz w:val="22"/>
          <w:szCs w:val="22"/>
        </w:rPr>
      </w:pPr>
    </w:p>
    <w:p w:rsidR="00166A57" w:rsidRPr="00D46E3E" w:rsidRDefault="00166A57" w:rsidP="00166A57">
      <w:pPr>
        <w:pStyle w:val="Default"/>
        <w:rPr>
          <w:rFonts w:asciiTheme="majorHAnsi" w:hAnsiTheme="majorHAnsi"/>
          <w:sz w:val="22"/>
          <w:szCs w:val="22"/>
        </w:rPr>
      </w:pPr>
      <w:r w:rsidRPr="00D46E3E">
        <w:rPr>
          <w:rFonts w:asciiTheme="majorHAnsi" w:hAnsiTheme="majorHAnsi"/>
          <w:b/>
          <w:bCs/>
          <w:sz w:val="22"/>
          <w:szCs w:val="22"/>
        </w:rPr>
        <w:t xml:space="preserve">Fellowship Duration: </w:t>
      </w:r>
    </w:p>
    <w:p w:rsidR="00D46E3E" w:rsidRDefault="00D46E3E" w:rsidP="00166A57">
      <w:pPr>
        <w:pStyle w:val="Default"/>
        <w:rPr>
          <w:rFonts w:asciiTheme="majorHAnsi" w:hAnsiTheme="majorHAnsi"/>
          <w:sz w:val="22"/>
          <w:szCs w:val="22"/>
        </w:rPr>
      </w:pP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2 years </w:t>
      </w:r>
    </w:p>
    <w:p w:rsidR="00E136D7" w:rsidRDefault="00E136D7" w:rsidP="00166A57">
      <w:pPr>
        <w:pStyle w:val="Default"/>
        <w:rPr>
          <w:rFonts w:asciiTheme="majorHAnsi" w:hAnsiTheme="majorHAnsi"/>
          <w:b/>
          <w:bCs/>
          <w:sz w:val="22"/>
          <w:szCs w:val="22"/>
        </w:rPr>
      </w:pPr>
    </w:p>
    <w:p w:rsidR="00E136D7" w:rsidRDefault="00166A57" w:rsidP="00166A57">
      <w:pPr>
        <w:pStyle w:val="Default"/>
        <w:rPr>
          <w:rFonts w:asciiTheme="majorHAnsi" w:hAnsiTheme="majorHAnsi"/>
          <w:b/>
          <w:bCs/>
          <w:sz w:val="22"/>
          <w:szCs w:val="22"/>
        </w:rPr>
      </w:pPr>
      <w:r w:rsidRPr="00D46E3E">
        <w:rPr>
          <w:rFonts w:asciiTheme="majorHAnsi" w:hAnsiTheme="majorHAnsi"/>
          <w:b/>
          <w:bCs/>
          <w:sz w:val="22"/>
          <w:szCs w:val="22"/>
        </w:rPr>
        <w:t xml:space="preserve">Eligibility Criteria </w:t>
      </w:r>
    </w:p>
    <w:p w:rsidR="00E136D7" w:rsidRDefault="00E136D7" w:rsidP="00166A57">
      <w:pPr>
        <w:pStyle w:val="Default"/>
        <w:rPr>
          <w:rFonts w:asciiTheme="majorHAnsi" w:hAnsiTheme="majorHAnsi"/>
          <w:b/>
          <w:bCs/>
          <w:sz w:val="22"/>
          <w:szCs w:val="22"/>
        </w:rPr>
      </w:pPr>
    </w:p>
    <w:p w:rsidR="00166A57" w:rsidRDefault="00166A57" w:rsidP="00166A57">
      <w:pPr>
        <w:pStyle w:val="Default"/>
        <w:rPr>
          <w:rFonts w:asciiTheme="majorHAnsi" w:hAnsiTheme="majorHAnsi"/>
          <w:sz w:val="22"/>
          <w:szCs w:val="22"/>
        </w:rPr>
      </w:pPr>
      <w:r w:rsidRPr="00D46E3E">
        <w:rPr>
          <w:rFonts w:asciiTheme="majorHAnsi" w:hAnsiTheme="majorHAnsi"/>
          <w:b/>
          <w:bCs/>
          <w:sz w:val="22"/>
          <w:szCs w:val="22"/>
        </w:rPr>
        <w:t xml:space="preserve">Essential: </w:t>
      </w:r>
      <w:r w:rsidR="00D46E3E">
        <w:rPr>
          <w:rFonts w:asciiTheme="majorHAnsi" w:hAnsiTheme="majorHAnsi"/>
          <w:sz w:val="22"/>
          <w:szCs w:val="22"/>
        </w:rPr>
        <w:t>A</w:t>
      </w:r>
      <w:r w:rsidRPr="00D46E3E">
        <w:rPr>
          <w:rFonts w:asciiTheme="majorHAnsi" w:hAnsiTheme="majorHAnsi"/>
          <w:sz w:val="22"/>
          <w:szCs w:val="22"/>
        </w:rPr>
        <w:t xml:space="preserve">ny one of the following medical qualifications </w:t>
      </w:r>
    </w:p>
    <w:p w:rsidR="00D46E3E" w:rsidRDefault="00D46E3E" w:rsidP="00166A57">
      <w:pPr>
        <w:pStyle w:val="Default"/>
        <w:rPr>
          <w:rFonts w:asciiTheme="majorHAnsi" w:hAnsiTheme="majorHAnsi"/>
          <w:sz w:val="22"/>
          <w:szCs w:val="22"/>
        </w:rPr>
      </w:pPr>
    </w:p>
    <w:p w:rsidR="00D46E3E" w:rsidRPr="00D46E3E" w:rsidRDefault="00D46E3E" w:rsidP="00D46E3E">
      <w:pPr>
        <w:pStyle w:val="Default"/>
        <w:rPr>
          <w:rFonts w:asciiTheme="majorHAnsi" w:hAnsiTheme="majorHAnsi"/>
          <w:sz w:val="22"/>
          <w:szCs w:val="22"/>
        </w:rPr>
      </w:pPr>
      <w:r w:rsidRPr="00D46E3E">
        <w:rPr>
          <w:rFonts w:asciiTheme="majorHAnsi" w:hAnsiTheme="majorHAnsi"/>
          <w:sz w:val="22"/>
          <w:szCs w:val="22"/>
        </w:rPr>
        <w:t xml:space="preserve">• DM Clinical Haematology </w:t>
      </w:r>
    </w:p>
    <w:p w:rsidR="00D46E3E" w:rsidRPr="00D46E3E" w:rsidRDefault="00D46E3E" w:rsidP="00D46E3E">
      <w:pPr>
        <w:pStyle w:val="Default"/>
        <w:rPr>
          <w:rFonts w:asciiTheme="majorHAnsi" w:hAnsiTheme="majorHAnsi"/>
          <w:sz w:val="22"/>
          <w:szCs w:val="22"/>
        </w:rPr>
      </w:pPr>
      <w:r w:rsidRPr="00D46E3E">
        <w:rPr>
          <w:rFonts w:asciiTheme="majorHAnsi" w:hAnsiTheme="majorHAnsi"/>
          <w:sz w:val="22"/>
          <w:szCs w:val="22"/>
        </w:rPr>
        <w:t xml:space="preserve">• DM Medical Oncology </w:t>
      </w:r>
    </w:p>
    <w:p w:rsidR="00D46E3E" w:rsidRPr="00D46E3E" w:rsidRDefault="00D46E3E" w:rsidP="00D46E3E">
      <w:pPr>
        <w:pStyle w:val="Default"/>
        <w:rPr>
          <w:rFonts w:asciiTheme="majorHAnsi" w:hAnsiTheme="majorHAnsi"/>
          <w:sz w:val="22"/>
          <w:szCs w:val="22"/>
        </w:rPr>
      </w:pPr>
      <w:r w:rsidRPr="00D46E3E">
        <w:rPr>
          <w:rFonts w:asciiTheme="majorHAnsi" w:hAnsiTheme="majorHAnsi"/>
          <w:sz w:val="22"/>
          <w:szCs w:val="22"/>
        </w:rPr>
        <w:t xml:space="preserve">• MD General Medicine </w:t>
      </w:r>
    </w:p>
    <w:p w:rsidR="00D46E3E" w:rsidRPr="00D46E3E" w:rsidRDefault="00D46E3E" w:rsidP="00D46E3E">
      <w:pPr>
        <w:pStyle w:val="Default"/>
        <w:rPr>
          <w:rFonts w:asciiTheme="majorHAnsi" w:hAnsiTheme="majorHAnsi"/>
          <w:sz w:val="22"/>
          <w:szCs w:val="22"/>
        </w:rPr>
      </w:pPr>
      <w:r w:rsidRPr="00D46E3E">
        <w:rPr>
          <w:rFonts w:asciiTheme="majorHAnsi" w:hAnsiTheme="majorHAnsi"/>
          <w:sz w:val="22"/>
          <w:szCs w:val="22"/>
        </w:rPr>
        <w:t xml:space="preserve">• MD </w:t>
      </w:r>
      <w:proofErr w:type="spellStart"/>
      <w:r w:rsidRPr="00D46E3E">
        <w:rPr>
          <w:rFonts w:asciiTheme="majorHAnsi" w:hAnsiTheme="majorHAnsi"/>
          <w:sz w:val="22"/>
          <w:szCs w:val="22"/>
        </w:rPr>
        <w:t>Paediatrics</w:t>
      </w:r>
      <w:proofErr w:type="spellEnd"/>
      <w:r w:rsidRPr="00D46E3E">
        <w:rPr>
          <w:rFonts w:asciiTheme="majorHAnsi" w:hAnsiTheme="majorHAnsi"/>
          <w:sz w:val="22"/>
          <w:szCs w:val="22"/>
        </w:rPr>
        <w:t xml:space="preserve"> </w:t>
      </w:r>
    </w:p>
    <w:p w:rsidR="00D46E3E" w:rsidRDefault="00D46E3E" w:rsidP="00166A57">
      <w:pPr>
        <w:pStyle w:val="Default"/>
        <w:rPr>
          <w:rFonts w:asciiTheme="majorHAnsi" w:hAnsiTheme="majorHAnsi"/>
          <w:sz w:val="22"/>
          <w:szCs w:val="22"/>
        </w:rPr>
      </w:pPr>
      <w:r w:rsidRPr="00D46E3E">
        <w:rPr>
          <w:rFonts w:asciiTheme="majorHAnsi" w:hAnsiTheme="majorHAnsi"/>
          <w:sz w:val="22"/>
          <w:szCs w:val="22"/>
        </w:rPr>
        <w:t xml:space="preserve">• MD Pathology </w:t>
      </w:r>
    </w:p>
    <w:p w:rsidR="00D46E3E" w:rsidRDefault="00D46E3E" w:rsidP="00166A57">
      <w:pPr>
        <w:pStyle w:val="Default"/>
        <w:rPr>
          <w:rFonts w:asciiTheme="majorHAnsi" w:hAnsiTheme="majorHAnsi"/>
          <w:sz w:val="22"/>
          <w:szCs w:val="22"/>
        </w:rPr>
      </w:pPr>
    </w:p>
    <w:p w:rsidR="00166A57" w:rsidRPr="00D46E3E" w:rsidRDefault="00166A57" w:rsidP="00166A57">
      <w:pPr>
        <w:pStyle w:val="Default"/>
        <w:rPr>
          <w:rFonts w:asciiTheme="majorHAnsi" w:hAnsiTheme="majorHAnsi"/>
          <w:sz w:val="22"/>
          <w:szCs w:val="22"/>
        </w:rPr>
      </w:pPr>
      <w:r w:rsidRPr="00D46E3E">
        <w:rPr>
          <w:rFonts w:asciiTheme="majorHAnsi" w:hAnsiTheme="majorHAnsi"/>
          <w:b/>
          <w:bCs/>
          <w:sz w:val="22"/>
          <w:szCs w:val="22"/>
        </w:rPr>
        <w:t xml:space="preserve">Clinical responsibilities: </w:t>
      </w:r>
    </w:p>
    <w:p w:rsidR="00D46E3E" w:rsidRPr="00D46E3E" w:rsidRDefault="00D46E3E" w:rsidP="00166A57">
      <w:pPr>
        <w:pStyle w:val="Default"/>
        <w:rPr>
          <w:rFonts w:asciiTheme="majorHAnsi" w:hAnsiTheme="majorHAnsi"/>
          <w:sz w:val="22"/>
          <w:szCs w:val="22"/>
        </w:rPr>
      </w:pPr>
    </w:p>
    <w:p w:rsidR="00166A57" w:rsidRPr="00D46E3E" w:rsidRDefault="00166A57" w:rsidP="00D46E3E">
      <w:pPr>
        <w:pStyle w:val="Default"/>
        <w:jc w:val="both"/>
        <w:rPr>
          <w:rFonts w:asciiTheme="majorHAnsi" w:hAnsiTheme="majorHAnsi"/>
          <w:sz w:val="22"/>
          <w:szCs w:val="22"/>
        </w:rPr>
      </w:pPr>
      <w:r w:rsidRPr="00D46E3E">
        <w:rPr>
          <w:rFonts w:asciiTheme="majorHAnsi" w:hAnsiTheme="majorHAnsi"/>
          <w:sz w:val="22"/>
          <w:szCs w:val="22"/>
        </w:rPr>
        <w:t xml:space="preserve">The fellow would be responsible for primarily evaluating patients in the OPD as well as in the ward. All day to day evaluation and management of the patient would be the responsibility of the fellow with appropriate guidance from the consultants in the department. The approach to the patient should be scientific and compassionate. </w:t>
      </w:r>
    </w:p>
    <w:p w:rsidR="00166A57" w:rsidRPr="00D46E3E" w:rsidRDefault="00166A57" w:rsidP="00D46E3E">
      <w:pPr>
        <w:pStyle w:val="Default"/>
        <w:jc w:val="both"/>
        <w:rPr>
          <w:rFonts w:asciiTheme="majorHAnsi" w:hAnsiTheme="majorHAnsi"/>
          <w:b/>
          <w:bCs/>
          <w:sz w:val="22"/>
          <w:szCs w:val="22"/>
        </w:rPr>
      </w:pPr>
    </w:p>
    <w:p w:rsidR="00166A57" w:rsidRDefault="00166A57" w:rsidP="00D46E3E">
      <w:pPr>
        <w:pStyle w:val="Default"/>
        <w:jc w:val="both"/>
        <w:rPr>
          <w:rFonts w:asciiTheme="majorHAnsi" w:hAnsiTheme="majorHAnsi"/>
          <w:b/>
          <w:bCs/>
          <w:sz w:val="22"/>
          <w:szCs w:val="22"/>
        </w:rPr>
      </w:pPr>
      <w:r w:rsidRPr="00D46E3E">
        <w:rPr>
          <w:rFonts w:asciiTheme="majorHAnsi" w:hAnsiTheme="majorHAnsi"/>
          <w:b/>
          <w:bCs/>
          <w:sz w:val="22"/>
          <w:szCs w:val="22"/>
        </w:rPr>
        <w:t xml:space="preserve">Academic responsibilities: </w:t>
      </w:r>
    </w:p>
    <w:p w:rsidR="00D46E3E" w:rsidRPr="00D46E3E" w:rsidRDefault="00D46E3E" w:rsidP="00D46E3E">
      <w:pPr>
        <w:pStyle w:val="Default"/>
        <w:jc w:val="both"/>
        <w:rPr>
          <w:rFonts w:asciiTheme="majorHAnsi" w:hAnsiTheme="majorHAnsi"/>
          <w:sz w:val="22"/>
          <w:szCs w:val="22"/>
        </w:rPr>
      </w:pPr>
    </w:p>
    <w:p w:rsidR="00166A57" w:rsidRPr="00D46E3E" w:rsidRDefault="00166A57" w:rsidP="00D46E3E">
      <w:pPr>
        <w:pStyle w:val="Default"/>
        <w:jc w:val="both"/>
        <w:rPr>
          <w:rFonts w:asciiTheme="majorHAnsi" w:hAnsiTheme="majorHAnsi"/>
          <w:sz w:val="22"/>
          <w:szCs w:val="22"/>
        </w:rPr>
      </w:pPr>
      <w:r w:rsidRPr="00D46E3E">
        <w:rPr>
          <w:rFonts w:asciiTheme="majorHAnsi" w:hAnsiTheme="majorHAnsi"/>
          <w:sz w:val="22"/>
          <w:szCs w:val="22"/>
        </w:rPr>
        <w:t xml:space="preserve">With appropriate guidance and under supervision, the postgraduate student will be responsible primarily for the acquisition of knowledge in areas of malignant hematology, bone marrow failure syndromes and Transfusion Medicine. Such knowledge will be acquired and demonstrated through Seminars, Case Presentations, and Journal Clubs, proper use of the library for "Suggested Reading" and formal reviews of selected major topics. Faculty staff would be present at these various exercises so as to provide the appropriate input. When necessary, Faculty staff may be required to review certain subjects in the form of formal lectures; however lectures will not play a dominant role in the theoretical component of the training programme. Clinical experience will be acquired by the trainee by day to day management of all patients admitted to the </w:t>
      </w:r>
      <w:proofErr w:type="spellStart"/>
      <w:r w:rsidRPr="00D46E3E">
        <w:rPr>
          <w:rFonts w:asciiTheme="majorHAnsi" w:hAnsiTheme="majorHAnsi"/>
          <w:sz w:val="22"/>
          <w:szCs w:val="22"/>
        </w:rPr>
        <w:t>haematology</w:t>
      </w:r>
      <w:proofErr w:type="spellEnd"/>
      <w:r w:rsidRPr="00D46E3E">
        <w:rPr>
          <w:rFonts w:asciiTheme="majorHAnsi" w:hAnsiTheme="majorHAnsi"/>
          <w:sz w:val="22"/>
          <w:szCs w:val="22"/>
        </w:rPr>
        <w:t xml:space="preserve"> service. Faculty will be involved in teaching of trainees in the ward- rounds and outpatient clinics. </w:t>
      </w:r>
    </w:p>
    <w:p w:rsidR="00166A57" w:rsidRPr="00D46E3E" w:rsidRDefault="00166A57" w:rsidP="00166A57">
      <w:pPr>
        <w:pStyle w:val="Default"/>
        <w:rPr>
          <w:rFonts w:asciiTheme="majorHAnsi" w:hAnsiTheme="majorHAnsi"/>
          <w:b/>
          <w:bCs/>
          <w:sz w:val="22"/>
          <w:szCs w:val="22"/>
        </w:rPr>
      </w:pPr>
    </w:p>
    <w:p w:rsidR="00166A57" w:rsidRDefault="00166A57" w:rsidP="00166A57">
      <w:pPr>
        <w:pStyle w:val="Default"/>
        <w:rPr>
          <w:rFonts w:asciiTheme="majorHAnsi" w:hAnsiTheme="majorHAnsi"/>
          <w:b/>
          <w:bCs/>
          <w:sz w:val="22"/>
          <w:szCs w:val="22"/>
        </w:rPr>
      </w:pPr>
      <w:r w:rsidRPr="00D46E3E">
        <w:rPr>
          <w:rFonts w:asciiTheme="majorHAnsi" w:hAnsiTheme="majorHAnsi"/>
          <w:b/>
          <w:bCs/>
          <w:sz w:val="22"/>
          <w:szCs w:val="22"/>
        </w:rPr>
        <w:t xml:space="preserve">Expected Rotations/Work Schema: </w:t>
      </w:r>
    </w:p>
    <w:p w:rsidR="00D46E3E" w:rsidRPr="00D46E3E" w:rsidRDefault="00D46E3E" w:rsidP="00166A57">
      <w:pPr>
        <w:pStyle w:val="Default"/>
        <w:rPr>
          <w:rFonts w:asciiTheme="majorHAnsi" w:hAnsiTheme="majorHAnsi"/>
          <w:sz w:val="22"/>
          <w:szCs w:val="22"/>
        </w:rPr>
      </w:pP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Clinical hematology: OPD + General+ Private wards – 14 months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Bone marrow transplant unit – 2 months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w:t>
      </w:r>
      <w:proofErr w:type="spellStart"/>
      <w:r w:rsidRPr="00D46E3E">
        <w:rPr>
          <w:rFonts w:asciiTheme="majorHAnsi" w:hAnsiTheme="majorHAnsi"/>
          <w:sz w:val="22"/>
          <w:szCs w:val="22"/>
        </w:rPr>
        <w:t>Hematopathology</w:t>
      </w:r>
      <w:proofErr w:type="spellEnd"/>
      <w:r w:rsidRPr="00D46E3E">
        <w:rPr>
          <w:rFonts w:asciiTheme="majorHAnsi" w:hAnsiTheme="majorHAnsi"/>
          <w:sz w:val="22"/>
          <w:szCs w:val="22"/>
        </w:rPr>
        <w:t xml:space="preserve"> – 2 months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Molecular pathology – 1 month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Blood Bank – 1 month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Biochemistry – 1 week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Microbiology and virology- 1 month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General Pathology – 1 week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Nuclear Medicine – 1 week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Radiotherapy - 1 week </w:t>
      </w:r>
    </w:p>
    <w:p w:rsidR="00166A57" w:rsidRPr="00D46E3E" w:rsidRDefault="00166A57" w:rsidP="00166A57">
      <w:pPr>
        <w:pStyle w:val="Default"/>
        <w:rPr>
          <w:rFonts w:asciiTheme="majorHAnsi" w:hAnsiTheme="majorHAnsi"/>
          <w:sz w:val="22"/>
          <w:szCs w:val="22"/>
        </w:rPr>
      </w:pPr>
      <w:r w:rsidRPr="00D46E3E">
        <w:rPr>
          <w:rFonts w:asciiTheme="majorHAnsi" w:hAnsiTheme="majorHAnsi"/>
          <w:sz w:val="22"/>
          <w:szCs w:val="22"/>
        </w:rPr>
        <w:t xml:space="preserve">• Peripheral posting – 2 months </w:t>
      </w:r>
    </w:p>
    <w:p w:rsidR="00166A57" w:rsidRPr="00D46E3E" w:rsidRDefault="00166A57" w:rsidP="00166A57">
      <w:pPr>
        <w:pStyle w:val="Default"/>
        <w:rPr>
          <w:rFonts w:asciiTheme="majorHAnsi" w:hAnsiTheme="majorHAnsi"/>
          <w:sz w:val="22"/>
          <w:szCs w:val="22"/>
        </w:rPr>
      </w:pPr>
    </w:p>
    <w:p w:rsidR="00166A57" w:rsidRDefault="00166A57" w:rsidP="00166A57">
      <w:pPr>
        <w:pStyle w:val="Default"/>
        <w:rPr>
          <w:rFonts w:asciiTheme="majorHAnsi" w:hAnsiTheme="majorHAnsi"/>
          <w:b/>
          <w:bCs/>
          <w:sz w:val="22"/>
          <w:szCs w:val="22"/>
        </w:rPr>
      </w:pPr>
      <w:r w:rsidRPr="00D46E3E">
        <w:rPr>
          <w:rFonts w:asciiTheme="majorHAnsi" w:hAnsiTheme="majorHAnsi"/>
          <w:b/>
          <w:bCs/>
          <w:sz w:val="22"/>
          <w:szCs w:val="22"/>
        </w:rPr>
        <w:t xml:space="preserve">Opportunities for career advancement: </w:t>
      </w:r>
    </w:p>
    <w:p w:rsidR="00D46E3E" w:rsidRPr="00D46E3E" w:rsidRDefault="00D46E3E" w:rsidP="00166A57">
      <w:pPr>
        <w:pStyle w:val="Default"/>
        <w:rPr>
          <w:rFonts w:asciiTheme="majorHAnsi" w:hAnsiTheme="majorHAnsi"/>
          <w:sz w:val="22"/>
          <w:szCs w:val="22"/>
        </w:rPr>
      </w:pPr>
    </w:p>
    <w:p w:rsidR="00166A57" w:rsidRDefault="00166A57" w:rsidP="00D46E3E">
      <w:pPr>
        <w:pStyle w:val="Default"/>
        <w:jc w:val="both"/>
        <w:rPr>
          <w:rFonts w:asciiTheme="majorHAnsi" w:hAnsiTheme="majorHAnsi"/>
          <w:sz w:val="22"/>
          <w:szCs w:val="22"/>
        </w:rPr>
      </w:pPr>
      <w:r w:rsidRPr="00D46E3E">
        <w:rPr>
          <w:rFonts w:asciiTheme="majorHAnsi" w:hAnsiTheme="majorHAnsi"/>
          <w:sz w:val="22"/>
          <w:szCs w:val="22"/>
        </w:rPr>
        <w:t xml:space="preserve">The aim of the fellowship training in Clinical Haematology is to ensure that the trainee at the end of his training possess the necessary clinical and laboratory skills to be able to manage patients with primary </w:t>
      </w:r>
      <w:proofErr w:type="spellStart"/>
      <w:r w:rsidRPr="00D46E3E">
        <w:rPr>
          <w:rFonts w:asciiTheme="majorHAnsi" w:hAnsiTheme="majorHAnsi"/>
          <w:sz w:val="22"/>
          <w:szCs w:val="22"/>
        </w:rPr>
        <w:t>haematological</w:t>
      </w:r>
      <w:proofErr w:type="spellEnd"/>
      <w:r w:rsidRPr="00D46E3E">
        <w:rPr>
          <w:rFonts w:asciiTheme="majorHAnsi" w:hAnsiTheme="majorHAnsi"/>
          <w:sz w:val="22"/>
          <w:szCs w:val="22"/>
        </w:rPr>
        <w:t xml:space="preserve"> malignancies and interact as a consultant for </w:t>
      </w:r>
      <w:proofErr w:type="spellStart"/>
      <w:r w:rsidRPr="00D46E3E">
        <w:rPr>
          <w:rFonts w:asciiTheme="majorHAnsi" w:hAnsiTheme="majorHAnsi"/>
          <w:sz w:val="22"/>
          <w:szCs w:val="22"/>
        </w:rPr>
        <w:t>haematology</w:t>
      </w:r>
      <w:proofErr w:type="spellEnd"/>
      <w:r w:rsidRPr="00D46E3E">
        <w:rPr>
          <w:rFonts w:asciiTheme="majorHAnsi" w:hAnsiTheme="majorHAnsi"/>
          <w:sz w:val="22"/>
          <w:szCs w:val="22"/>
        </w:rPr>
        <w:t xml:space="preserve"> problems from other specialties and be competent in laboratory </w:t>
      </w:r>
      <w:proofErr w:type="spellStart"/>
      <w:r w:rsidRPr="00D46E3E">
        <w:rPr>
          <w:rFonts w:asciiTheme="majorHAnsi" w:hAnsiTheme="majorHAnsi"/>
          <w:sz w:val="22"/>
          <w:szCs w:val="22"/>
        </w:rPr>
        <w:t>haematology</w:t>
      </w:r>
      <w:proofErr w:type="spellEnd"/>
      <w:r w:rsidRPr="00D46E3E">
        <w:rPr>
          <w:rFonts w:asciiTheme="majorHAnsi" w:hAnsiTheme="majorHAnsi"/>
          <w:sz w:val="22"/>
          <w:szCs w:val="22"/>
        </w:rPr>
        <w:t xml:space="preserve"> and transfusion medicine. </w:t>
      </w:r>
    </w:p>
    <w:p w:rsidR="00AE7614" w:rsidRPr="00D46E3E" w:rsidRDefault="00AE7614" w:rsidP="00AE7614">
      <w:pPr>
        <w:pStyle w:val="Default"/>
        <w:pageBreakBefore/>
        <w:rPr>
          <w:rFonts w:asciiTheme="majorHAnsi" w:hAnsiTheme="majorHAnsi"/>
          <w:sz w:val="22"/>
          <w:szCs w:val="22"/>
        </w:rPr>
      </w:pPr>
      <w:r w:rsidRPr="00D46E3E">
        <w:rPr>
          <w:rFonts w:asciiTheme="majorHAnsi" w:hAnsiTheme="majorHAnsi"/>
          <w:b/>
          <w:bCs/>
          <w:sz w:val="22"/>
          <w:szCs w:val="22"/>
        </w:rPr>
        <w:lastRenderedPageBreak/>
        <w:t xml:space="preserve">Evaluation: </w:t>
      </w:r>
    </w:p>
    <w:p w:rsidR="00AE7614" w:rsidRPr="00D46E3E" w:rsidRDefault="00AE7614" w:rsidP="00AE7614">
      <w:pPr>
        <w:pStyle w:val="Default"/>
        <w:spacing w:after="188"/>
        <w:rPr>
          <w:rFonts w:asciiTheme="majorHAnsi" w:hAnsiTheme="majorHAnsi"/>
          <w:sz w:val="22"/>
          <w:szCs w:val="22"/>
        </w:rPr>
      </w:pPr>
      <w:r w:rsidRPr="00D46E3E">
        <w:rPr>
          <w:rFonts w:asciiTheme="majorHAnsi" w:hAnsiTheme="majorHAnsi" w:cs="Times New Roman"/>
          <w:sz w:val="22"/>
          <w:szCs w:val="22"/>
        </w:rPr>
        <w:t xml:space="preserve">• </w:t>
      </w:r>
      <w:r w:rsidRPr="00D46E3E">
        <w:rPr>
          <w:rFonts w:asciiTheme="majorHAnsi" w:hAnsiTheme="majorHAnsi"/>
          <w:sz w:val="22"/>
          <w:szCs w:val="22"/>
        </w:rPr>
        <w:t xml:space="preserve">Exit theory evaluation </w:t>
      </w:r>
      <w:r w:rsidRPr="00D46E3E">
        <w:rPr>
          <w:rFonts w:asciiTheme="majorHAnsi" w:hAnsiTheme="majorHAnsi" w:cs="Times New Roman"/>
          <w:sz w:val="22"/>
          <w:szCs w:val="22"/>
        </w:rPr>
        <w:t xml:space="preserve">– </w:t>
      </w:r>
      <w:r w:rsidRPr="00D46E3E">
        <w:rPr>
          <w:rFonts w:asciiTheme="majorHAnsi" w:hAnsiTheme="majorHAnsi"/>
          <w:sz w:val="22"/>
          <w:szCs w:val="22"/>
        </w:rPr>
        <w:t xml:space="preserve">Basic science </w:t>
      </w:r>
    </w:p>
    <w:p w:rsidR="00AE7614" w:rsidRPr="00D46E3E" w:rsidRDefault="00AE7614" w:rsidP="00AE7614">
      <w:pPr>
        <w:pStyle w:val="Default"/>
        <w:spacing w:after="188"/>
        <w:rPr>
          <w:rFonts w:asciiTheme="majorHAnsi" w:hAnsiTheme="majorHAnsi"/>
          <w:sz w:val="22"/>
          <w:szCs w:val="22"/>
        </w:rPr>
      </w:pPr>
      <w:r w:rsidRPr="00D46E3E">
        <w:rPr>
          <w:rFonts w:asciiTheme="majorHAnsi" w:hAnsiTheme="majorHAnsi" w:cs="Times New Roman"/>
          <w:sz w:val="22"/>
          <w:szCs w:val="22"/>
        </w:rPr>
        <w:t xml:space="preserve">– </w:t>
      </w:r>
      <w:r w:rsidRPr="00D46E3E">
        <w:rPr>
          <w:rFonts w:asciiTheme="majorHAnsi" w:hAnsiTheme="majorHAnsi"/>
          <w:sz w:val="22"/>
          <w:szCs w:val="22"/>
        </w:rPr>
        <w:t xml:space="preserve">Laboratory science </w:t>
      </w:r>
    </w:p>
    <w:p w:rsidR="00AE7614" w:rsidRPr="00D46E3E" w:rsidRDefault="00AE7614" w:rsidP="00AE7614">
      <w:pPr>
        <w:pStyle w:val="Default"/>
        <w:rPr>
          <w:rFonts w:asciiTheme="majorHAnsi" w:hAnsiTheme="majorHAnsi"/>
          <w:sz w:val="22"/>
          <w:szCs w:val="22"/>
        </w:rPr>
      </w:pPr>
      <w:r w:rsidRPr="00D46E3E">
        <w:rPr>
          <w:rFonts w:asciiTheme="majorHAnsi" w:hAnsiTheme="majorHAnsi" w:cs="Times New Roman"/>
          <w:sz w:val="22"/>
          <w:szCs w:val="22"/>
        </w:rPr>
        <w:t xml:space="preserve">– </w:t>
      </w:r>
      <w:r w:rsidRPr="00D46E3E">
        <w:rPr>
          <w:rFonts w:asciiTheme="majorHAnsi" w:hAnsiTheme="majorHAnsi"/>
          <w:sz w:val="22"/>
          <w:szCs w:val="22"/>
        </w:rPr>
        <w:t xml:space="preserve">Clinical Hematology </w:t>
      </w:r>
    </w:p>
    <w:p w:rsidR="00AE7614" w:rsidRPr="00D46E3E" w:rsidRDefault="00AE7614" w:rsidP="00AE7614">
      <w:pPr>
        <w:pStyle w:val="Default"/>
        <w:rPr>
          <w:rFonts w:asciiTheme="majorHAnsi" w:hAnsiTheme="majorHAnsi"/>
          <w:sz w:val="22"/>
          <w:szCs w:val="22"/>
        </w:rPr>
      </w:pPr>
    </w:p>
    <w:p w:rsidR="00AE7614" w:rsidRPr="00D46E3E" w:rsidRDefault="00AE7614" w:rsidP="00AE7614">
      <w:pPr>
        <w:pStyle w:val="Default"/>
        <w:spacing w:after="188"/>
        <w:rPr>
          <w:rFonts w:asciiTheme="majorHAnsi" w:hAnsiTheme="majorHAnsi"/>
          <w:sz w:val="22"/>
          <w:szCs w:val="22"/>
        </w:rPr>
      </w:pPr>
      <w:r w:rsidRPr="00D46E3E">
        <w:rPr>
          <w:rFonts w:asciiTheme="majorHAnsi" w:hAnsiTheme="majorHAnsi" w:cs="Times New Roman"/>
          <w:sz w:val="22"/>
          <w:szCs w:val="22"/>
        </w:rPr>
        <w:t xml:space="preserve">• </w:t>
      </w:r>
      <w:r w:rsidRPr="00D46E3E">
        <w:rPr>
          <w:rFonts w:asciiTheme="majorHAnsi" w:hAnsiTheme="majorHAnsi"/>
          <w:sz w:val="22"/>
          <w:szCs w:val="22"/>
        </w:rPr>
        <w:t xml:space="preserve">Practical </w:t>
      </w:r>
      <w:r w:rsidRPr="00D46E3E">
        <w:rPr>
          <w:rFonts w:asciiTheme="majorHAnsi" w:hAnsiTheme="majorHAnsi" w:cs="Times New Roman"/>
          <w:sz w:val="22"/>
          <w:szCs w:val="22"/>
        </w:rPr>
        <w:t xml:space="preserve">– </w:t>
      </w:r>
      <w:r w:rsidRPr="00D46E3E">
        <w:rPr>
          <w:rFonts w:asciiTheme="majorHAnsi" w:hAnsiTheme="majorHAnsi"/>
          <w:sz w:val="22"/>
          <w:szCs w:val="22"/>
        </w:rPr>
        <w:t xml:space="preserve">Laboratory- one day </w:t>
      </w:r>
    </w:p>
    <w:p w:rsidR="00AE7614" w:rsidRDefault="00AE7614" w:rsidP="00AE7614">
      <w:pPr>
        <w:pStyle w:val="Default"/>
        <w:rPr>
          <w:rFonts w:asciiTheme="majorHAnsi" w:hAnsiTheme="majorHAnsi"/>
          <w:sz w:val="22"/>
          <w:szCs w:val="22"/>
        </w:rPr>
      </w:pPr>
      <w:r w:rsidRPr="00D46E3E">
        <w:rPr>
          <w:rFonts w:asciiTheme="majorHAnsi" w:hAnsiTheme="majorHAnsi" w:cs="Times New Roman"/>
          <w:sz w:val="22"/>
          <w:szCs w:val="22"/>
        </w:rPr>
        <w:t xml:space="preserve">– </w:t>
      </w:r>
      <w:r w:rsidRPr="00D46E3E">
        <w:rPr>
          <w:rFonts w:asciiTheme="majorHAnsi" w:hAnsiTheme="majorHAnsi"/>
          <w:sz w:val="22"/>
          <w:szCs w:val="22"/>
        </w:rPr>
        <w:t xml:space="preserve">Clinical hematology- case study- one day </w:t>
      </w:r>
    </w:p>
    <w:p w:rsidR="00AE7614" w:rsidRDefault="00AE7614" w:rsidP="00AE7614">
      <w:pPr>
        <w:pStyle w:val="Default"/>
        <w:rPr>
          <w:rFonts w:asciiTheme="majorHAnsi" w:hAnsiTheme="majorHAnsi"/>
          <w:sz w:val="22"/>
          <w:szCs w:val="22"/>
        </w:rPr>
      </w:pPr>
    </w:p>
    <w:p w:rsidR="00AE7614" w:rsidRPr="00133573" w:rsidRDefault="00AE7614" w:rsidP="00AE7614">
      <w:pPr>
        <w:spacing w:before="100" w:beforeAutospacing="1" w:after="100" w:afterAutospacing="1" w:line="240" w:lineRule="auto"/>
        <w:jc w:val="both"/>
        <w:rPr>
          <w:rFonts w:asciiTheme="majorHAnsi" w:eastAsia="Times New Roman" w:hAnsiTheme="majorHAnsi" w:cs="Times New Roman"/>
          <w:color w:val="000000" w:themeColor="text1"/>
          <w:lang w:val="en-US"/>
        </w:rPr>
      </w:pPr>
      <w:r w:rsidRPr="00133573">
        <w:rPr>
          <w:rFonts w:asciiTheme="majorHAnsi" w:hAnsiTheme="majorHAnsi"/>
          <w:b/>
          <w:color w:val="000000" w:themeColor="text1"/>
        </w:rPr>
        <w:t>*For more details and application forms, please log on to our website today: www.tmckolkata.com</w:t>
      </w:r>
    </w:p>
    <w:p w:rsidR="00AE7614" w:rsidRPr="00133573" w:rsidRDefault="00AE7614" w:rsidP="00AE7614">
      <w:pPr>
        <w:pStyle w:val="NoSpacing"/>
        <w:jc w:val="both"/>
        <w:rPr>
          <w:rFonts w:asciiTheme="majorHAnsi" w:hAnsiTheme="majorHAnsi"/>
          <w:b/>
          <w:color w:val="000000" w:themeColor="text1"/>
        </w:rPr>
      </w:pPr>
      <w:r w:rsidRPr="00133573">
        <w:rPr>
          <w:rFonts w:asciiTheme="majorHAnsi" w:hAnsiTheme="majorHAnsi"/>
          <w:b/>
          <w:color w:val="000000" w:themeColor="text1"/>
        </w:rPr>
        <w:t>You may also Email or Post applications to:</w:t>
      </w:r>
    </w:p>
    <w:p w:rsidR="00AE7614" w:rsidRPr="00133573" w:rsidRDefault="00AE7614" w:rsidP="00AE7614">
      <w:pPr>
        <w:pStyle w:val="NoSpacing"/>
        <w:jc w:val="both"/>
        <w:rPr>
          <w:rFonts w:asciiTheme="majorHAnsi" w:hAnsiTheme="majorHAnsi"/>
          <w:color w:val="000000" w:themeColor="text1"/>
        </w:rPr>
      </w:pPr>
    </w:p>
    <w:p w:rsidR="00AE7614" w:rsidRPr="00133573" w:rsidRDefault="00AE7614" w:rsidP="00AE7614">
      <w:pPr>
        <w:pStyle w:val="NoSpacing"/>
        <w:jc w:val="both"/>
        <w:rPr>
          <w:rFonts w:asciiTheme="majorHAnsi" w:hAnsiTheme="majorHAnsi"/>
          <w:color w:val="000000" w:themeColor="text1"/>
        </w:rPr>
      </w:pPr>
      <w:r w:rsidRPr="00133573">
        <w:rPr>
          <w:rFonts w:asciiTheme="majorHAnsi" w:hAnsiTheme="majorHAnsi"/>
          <w:color w:val="000000" w:themeColor="text1"/>
        </w:rPr>
        <w:t>Mr. Suvasish Mukherjee, Head-</w:t>
      </w:r>
      <w:r w:rsidRPr="00133573">
        <w:rPr>
          <w:rFonts w:asciiTheme="majorHAnsi" w:hAnsiTheme="majorHAnsi"/>
          <w:vanish/>
          <w:color w:val="000000" w:themeColor="text1"/>
        </w:rPr>
        <w:t>ui</w:t>
      </w:r>
      <w:r w:rsidRPr="00133573">
        <w:rPr>
          <w:rFonts w:asciiTheme="majorHAnsi" w:hAnsiTheme="majorHAnsi"/>
          <w:color w:val="000000" w:themeColor="text1"/>
        </w:rPr>
        <w:t>Human Resources, Tata Medical Center, 14 MAR (EW), New Town, Kolkata – 7001</w:t>
      </w:r>
      <w:r w:rsidR="00F9642C">
        <w:rPr>
          <w:rFonts w:asciiTheme="majorHAnsi" w:hAnsiTheme="majorHAnsi"/>
          <w:color w:val="000000" w:themeColor="text1"/>
        </w:rPr>
        <w:t>60</w:t>
      </w:r>
      <w:r w:rsidRPr="00133573">
        <w:rPr>
          <w:rFonts w:asciiTheme="majorHAnsi" w:hAnsiTheme="majorHAnsi"/>
          <w:color w:val="000000" w:themeColor="text1"/>
        </w:rPr>
        <w:t>.</w:t>
      </w:r>
    </w:p>
    <w:p w:rsidR="00AE7614" w:rsidRPr="00133573" w:rsidRDefault="00AE7614" w:rsidP="00AE7614">
      <w:pPr>
        <w:pStyle w:val="NoSpacing"/>
        <w:jc w:val="both"/>
        <w:rPr>
          <w:rFonts w:asciiTheme="majorHAnsi" w:hAnsiTheme="majorHAnsi"/>
          <w:color w:val="000000" w:themeColor="text1"/>
        </w:rPr>
      </w:pPr>
    </w:p>
    <w:p w:rsidR="00AE7614" w:rsidRPr="00133573" w:rsidRDefault="00AE7614" w:rsidP="00AE7614">
      <w:pPr>
        <w:pStyle w:val="NoSpacing"/>
        <w:jc w:val="both"/>
        <w:rPr>
          <w:rFonts w:asciiTheme="majorHAnsi" w:hAnsiTheme="majorHAnsi"/>
          <w:color w:val="000000" w:themeColor="text1"/>
        </w:rPr>
      </w:pPr>
      <w:r w:rsidRPr="00133573">
        <w:rPr>
          <w:rFonts w:asciiTheme="majorHAnsi" w:hAnsiTheme="majorHAnsi"/>
          <w:color w:val="000000" w:themeColor="text1"/>
        </w:rPr>
        <w:t xml:space="preserve">Email – </w:t>
      </w:r>
      <w:hyperlink r:id="rId7" w:history="1">
        <w:r w:rsidRPr="00133573">
          <w:rPr>
            <w:rFonts w:asciiTheme="majorHAnsi" w:hAnsiTheme="majorHAnsi" w:cs="Arial"/>
            <w:color w:val="000000" w:themeColor="text1"/>
            <w:u w:val="single"/>
          </w:rPr>
          <w:t>suvashish.mukherjee@tmckolkata.com</w:t>
        </w:r>
      </w:hyperlink>
    </w:p>
    <w:p w:rsidR="00AE7614" w:rsidRPr="00D46E3E" w:rsidRDefault="00AE7614" w:rsidP="00D46E3E">
      <w:pPr>
        <w:pStyle w:val="Default"/>
        <w:jc w:val="both"/>
        <w:rPr>
          <w:rFonts w:asciiTheme="majorHAnsi" w:hAnsiTheme="majorHAnsi"/>
          <w:sz w:val="22"/>
          <w:szCs w:val="22"/>
        </w:rPr>
      </w:pPr>
    </w:p>
    <w:p w:rsidR="00D46E3E" w:rsidRDefault="00D46E3E" w:rsidP="00166A57">
      <w:pPr>
        <w:pStyle w:val="Default"/>
        <w:rPr>
          <w:rFonts w:asciiTheme="majorHAnsi" w:hAnsiTheme="majorHAnsi"/>
          <w:sz w:val="22"/>
          <w:szCs w:val="22"/>
        </w:rPr>
      </w:pPr>
    </w:p>
    <w:p w:rsidR="00AE7614" w:rsidRPr="00D46E3E" w:rsidRDefault="00AE7614" w:rsidP="00166A57">
      <w:pPr>
        <w:pStyle w:val="Default"/>
        <w:rPr>
          <w:rFonts w:asciiTheme="majorHAnsi" w:hAnsiTheme="majorHAnsi"/>
          <w:sz w:val="22"/>
          <w:szCs w:val="22"/>
        </w:rPr>
      </w:pPr>
    </w:p>
    <w:p w:rsidR="00166A57" w:rsidRPr="00D46E3E" w:rsidRDefault="00166A57" w:rsidP="00166A57">
      <w:pPr>
        <w:pStyle w:val="Default"/>
        <w:rPr>
          <w:sz w:val="22"/>
          <w:szCs w:val="22"/>
        </w:rPr>
      </w:pPr>
    </w:p>
    <w:p w:rsidR="007B65F2" w:rsidRPr="00D46E3E" w:rsidRDefault="002F1798"/>
    <w:sectPr w:rsidR="007B65F2" w:rsidRPr="00D46E3E" w:rsidSect="002F1798">
      <w:pgSz w:w="12240" w:h="16340"/>
      <w:pgMar w:top="873" w:right="1204" w:bottom="1428" w:left="119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EE4"/>
    <w:multiLevelType w:val="hybridMultilevel"/>
    <w:tmpl w:val="D514F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F5E3069"/>
    <w:multiLevelType w:val="hybridMultilevel"/>
    <w:tmpl w:val="0F0236D4"/>
    <w:lvl w:ilvl="0" w:tplc="9B988BFE">
      <w:numFmt w:val="bullet"/>
      <w:lvlText w:val="•"/>
      <w:lvlJc w:val="left"/>
      <w:pPr>
        <w:ind w:left="720" w:hanging="360"/>
      </w:pPr>
      <w:rPr>
        <w:rFonts w:ascii="Cambria" w:eastAsiaTheme="minorHAnsi" w:hAnsi="Cambri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57"/>
    <w:rsid w:val="000C4937"/>
    <w:rsid w:val="00166A57"/>
    <w:rsid w:val="002F1798"/>
    <w:rsid w:val="004D6DCD"/>
    <w:rsid w:val="00AE7614"/>
    <w:rsid w:val="00B74F97"/>
    <w:rsid w:val="00BA0D94"/>
    <w:rsid w:val="00BD338A"/>
    <w:rsid w:val="00D40DCA"/>
    <w:rsid w:val="00D46E3E"/>
    <w:rsid w:val="00E136D7"/>
    <w:rsid w:val="00EE214B"/>
    <w:rsid w:val="00F964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3E"/>
    <w:pPr>
      <w:spacing w:after="200" w:line="276" w:lineRule="auto"/>
      <w:jc w:val="left"/>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A57"/>
    <w:pPr>
      <w:autoSpaceDE w:val="0"/>
      <w:autoSpaceDN w:val="0"/>
      <w:adjustRightInd w:val="0"/>
      <w:jc w:val="left"/>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6A57"/>
    <w:rPr>
      <w:rFonts w:ascii="Tahoma" w:hAnsi="Tahoma" w:cs="Tahoma"/>
      <w:sz w:val="16"/>
      <w:szCs w:val="16"/>
    </w:rPr>
  </w:style>
  <w:style w:type="character" w:customStyle="1" w:styleId="BalloonTextChar">
    <w:name w:val="Balloon Text Char"/>
    <w:basedOn w:val="DefaultParagraphFont"/>
    <w:link w:val="BalloonText"/>
    <w:uiPriority w:val="99"/>
    <w:semiHidden/>
    <w:rsid w:val="00166A57"/>
    <w:rPr>
      <w:rFonts w:ascii="Tahoma" w:hAnsi="Tahoma" w:cs="Tahoma"/>
      <w:sz w:val="16"/>
      <w:szCs w:val="16"/>
    </w:rPr>
  </w:style>
  <w:style w:type="paragraph" w:styleId="NoSpacing">
    <w:name w:val="No Spacing"/>
    <w:uiPriority w:val="1"/>
    <w:qFormat/>
    <w:rsid w:val="00D46E3E"/>
    <w:pPr>
      <w:jc w:val="left"/>
    </w:pPr>
    <w:rPr>
      <w:lang w:val="en-IN"/>
    </w:rPr>
  </w:style>
  <w:style w:type="paragraph" w:styleId="NormalWeb">
    <w:name w:val="Normal (Web)"/>
    <w:basedOn w:val="Normal"/>
    <w:uiPriority w:val="99"/>
    <w:unhideWhenUsed/>
    <w:rsid w:val="00AE7614"/>
    <w:pPr>
      <w:spacing w:before="100" w:beforeAutospacing="1" w:after="115"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3E"/>
    <w:pPr>
      <w:spacing w:after="200" w:line="276" w:lineRule="auto"/>
      <w:jc w:val="left"/>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A57"/>
    <w:pPr>
      <w:autoSpaceDE w:val="0"/>
      <w:autoSpaceDN w:val="0"/>
      <w:adjustRightInd w:val="0"/>
      <w:jc w:val="left"/>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6A57"/>
    <w:rPr>
      <w:rFonts w:ascii="Tahoma" w:hAnsi="Tahoma" w:cs="Tahoma"/>
      <w:sz w:val="16"/>
      <w:szCs w:val="16"/>
    </w:rPr>
  </w:style>
  <w:style w:type="character" w:customStyle="1" w:styleId="BalloonTextChar">
    <w:name w:val="Balloon Text Char"/>
    <w:basedOn w:val="DefaultParagraphFont"/>
    <w:link w:val="BalloonText"/>
    <w:uiPriority w:val="99"/>
    <w:semiHidden/>
    <w:rsid w:val="00166A57"/>
    <w:rPr>
      <w:rFonts w:ascii="Tahoma" w:hAnsi="Tahoma" w:cs="Tahoma"/>
      <w:sz w:val="16"/>
      <w:szCs w:val="16"/>
    </w:rPr>
  </w:style>
  <w:style w:type="paragraph" w:styleId="NoSpacing">
    <w:name w:val="No Spacing"/>
    <w:uiPriority w:val="1"/>
    <w:qFormat/>
    <w:rsid w:val="00D46E3E"/>
    <w:pPr>
      <w:jc w:val="left"/>
    </w:pPr>
    <w:rPr>
      <w:lang w:val="en-IN"/>
    </w:rPr>
  </w:style>
  <w:style w:type="paragraph" w:styleId="NormalWeb">
    <w:name w:val="Normal (Web)"/>
    <w:basedOn w:val="Normal"/>
    <w:uiPriority w:val="99"/>
    <w:unhideWhenUsed/>
    <w:rsid w:val="00AE7614"/>
    <w:pPr>
      <w:spacing w:before="100" w:beforeAutospacing="1" w:after="115"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vashish.mukherjee@tmckolka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10338</dc:creator>
  <cp:lastModifiedBy>Rainy Bhattacharya</cp:lastModifiedBy>
  <cp:revision>4</cp:revision>
  <dcterms:created xsi:type="dcterms:W3CDTF">2019-07-23T04:38:00Z</dcterms:created>
  <dcterms:modified xsi:type="dcterms:W3CDTF">2023-07-10T04:01:00Z</dcterms:modified>
</cp:coreProperties>
</file>